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zwei Holzdecks mit Rammpfahlgründung und Holzeindeckung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